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61" w:rsidRDefault="00D6357D" w:rsidP="00AB3D61">
      <w:pPr>
        <w:widowControl/>
        <w:adjustRightInd/>
        <w:spacing w:line="240" w:lineRule="auto"/>
        <w:jc w:val="center"/>
        <w:textAlignment w:val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93DC6" wp14:editId="5D7394EB">
                <wp:simplePos x="0" y="0"/>
                <wp:positionH relativeFrom="column">
                  <wp:posOffset>4585666</wp:posOffset>
                </wp:positionH>
                <wp:positionV relativeFrom="paragraph">
                  <wp:posOffset>-184785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357D" w:rsidRPr="00D6357D" w:rsidRDefault="00D6357D" w:rsidP="00D635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57D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93D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1pt;margin-top:-14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D6357D" w:rsidRPr="00D6357D" w:rsidRDefault="00D6357D" w:rsidP="00D6357D">
                      <w:pPr>
                        <w:widowControl/>
                        <w:jc w:val="center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57D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4555821</wp:posOffset>
                </wp:positionH>
                <wp:positionV relativeFrom="paragraph">
                  <wp:posOffset>-189865</wp:posOffset>
                </wp:positionV>
                <wp:extent cx="715010" cy="341630"/>
                <wp:effectExtent l="0" t="0" r="2794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7B964" id="矩形 1" o:spid="_x0000_s1026" style="position:absolute;margin-left:358.75pt;margin-top:-14.95pt;width:56.3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" filled="f" strokecolor="black [3213]" strokeweight="1pt"/>
            </w:pict>
          </mc:Fallback>
        </mc:AlternateContent>
      </w:r>
      <w:r w:rsidR="00AB3D61" w:rsidRPr="00E81952">
        <w:rPr>
          <w:rFonts w:ascii="標楷體" w:eastAsia="標楷體" w:hAnsi="標楷體"/>
          <w:sz w:val="28"/>
          <w:szCs w:val="28"/>
        </w:rPr>
        <w:t>嶺東科技大學學生</w:t>
      </w:r>
      <w:r w:rsidR="00AB3D61">
        <w:rPr>
          <w:rFonts w:ascii="標楷體" w:eastAsia="標楷體" w:hAnsi="標楷體" w:hint="eastAsia"/>
          <w:sz w:val="28"/>
          <w:szCs w:val="28"/>
        </w:rPr>
        <w:t>職涯輔導</w:t>
      </w:r>
      <w:r w:rsidR="00AB3D61" w:rsidRPr="00E81952">
        <w:rPr>
          <w:rFonts w:ascii="標楷體" w:eastAsia="標楷體" w:hAnsi="標楷體"/>
          <w:sz w:val="28"/>
          <w:szCs w:val="28"/>
        </w:rPr>
        <w:t>委員會設置要點</w:t>
      </w:r>
      <w:bookmarkStart w:id="0" w:name="_GoBack"/>
      <w:bookmarkEnd w:id="0"/>
    </w:p>
    <w:p w:rsidR="00AB3D61" w:rsidRDefault="00AB3D61" w:rsidP="00AB3D61">
      <w:pPr>
        <w:widowControl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3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28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100</w:t>
      </w:r>
      <w:r w:rsidRPr="00074188">
        <w:rPr>
          <w:rFonts w:ascii="標楷體" w:eastAsia="標楷體" w:hAnsi="標楷體"/>
          <w:sz w:val="20"/>
        </w:rPr>
        <w:t xml:space="preserve"> 學年度第2 學期第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次行政會議通過</w:t>
      </w:r>
    </w:p>
    <w:p w:rsidR="00AB3D61" w:rsidRDefault="00AB3D61" w:rsidP="00AB3D61">
      <w:pPr>
        <w:widowControl/>
        <w:wordWrap w:val="0"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9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12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101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wordWrap w:val="0"/>
        <w:adjustRightInd/>
        <w:spacing w:line="240" w:lineRule="auto"/>
        <w:jc w:val="righ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9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25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102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wordWrap w:val="0"/>
        <w:adjustRightInd/>
        <w:spacing w:line="240" w:lineRule="auto"/>
        <w:jc w:val="righ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4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9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23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104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5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24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104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6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8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21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106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6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8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21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106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Default="00AB3D61" w:rsidP="00AB3D61">
      <w:pPr>
        <w:widowControl/>
        <w:adjustRightInd/>
        <w:spacing w:line="240" w:lineRule="auto"/>
        <w:jc w:val="right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10</w:t>
      </w:r>
      <w:r>
        <w:rPr>
          <w:rFonts w:ascii="標楷體" w:eastAsia="標楷體" w:hAnsi="標楷體" w:hint="eastAsia"/>
          <w:sz w:val="20"/>
        </w:rPr>
        <w:t>7</w:t>
      </w:r>
      <w:r w:rsidRPr="00074188">
        <w:rPr>
          <w:rFonts w:ascii="標楷體" w:eastAsia="標楷體" w:hAnsi="標楷體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>10</w:t>
      </w:r>
      <w:r w:rsidRPr="00074188">
        <w:rPr>
          <w:rFonts w:ascii="標楷體" w:eastAsia="標楷體" w:hAnsi="標楷體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日</w:t>
      </w:r>
      <w:r>
        <w:rPr>
          <w:rFonts w:ascii="標楷體" w:eastAsia="標楷體" w:hAnsi="標楷體" w:hint="eastAsia"/>
          <w:sz w:val="20"/>
        </w:rPr>
        <w:t>107</w:t>
      </w:r>
      <w:r w:rsidRPr="00074188">
        <w:rPr>
          <w:rFonts w:ascii="標楷體" w:eastAsia="標楷體" w:hAnsi="標楷體"/>
          <w:sz w:val="20"/>
        </w:rPr>
        <w:t xml:space="preserve"> 學年度第</w:t>
      </w:r>
      <w:r>
        <w:rPr>
          <w:rFonts w:ascii="標楷體" w:eastAsia="標楷體" w:hAnsi="標楷體" w:hint="eastAsia"/>
          <w:sz w:val="20"/>
        </w:rPr>
        <w:t>1</w:t>
      </w:r>
      <w:r w:rsidRPr="00074188">
        <w:rPr>
          <w:rFonts w:ascii="標楷體" w:eastAsia="標楷體" w:hAnsi="標楷體"/>
          <w:sz w:val="20"/>
        </w:rPr>
        <w:t xml:space="preserve"> 學期第</w:t>
      </w:r>
      <w:r>
        <w:rPr>
          <w:rFonts w:ascii="標楷體" w:eastAsia="標楷體" w:hAnsi="標楷體" w:hint="eastAsia"/>
          <w:sz w:val="20"/>
        </w:rPr>
        <w:t>2</w:t>
      </w:r>
      <w:r w:rsidRPr="00074188">
        <w:rPr>
          <w:rFonts w:ascii="標楷體" w:eastAsia="標楷體" w:hAnsi="標楷體"/>
          <w:sz w:val="20"/>
        </w:rPr>
        <w:t xml:space="preserve"> 次行政會議</w:t>
      </w:r>
      <w:r>
        <w:rPr>
          <w:rFonts w:ascii="標楷體" w:eastAsia="標楷體" w:hAnsi="標楷體" w:hint="eastAsia"/>
          <w:sz w:val="20"/>
        </w:rPr>
        <w:t>修正</w:t>
      </w:r>
      <w:r w:rsidRPr="00074188">
        <w:rPr>
          <w:rFonts w:ascii="標楷體" w:eastAsia="標楷體" w:hAnsi="標楷體"/>
          <w:sz w:val="20"/>
        </w:rPr>
        <w:t>通過</w:t>
      </w:r>
    </w:p>
    <w:p w:rsidR="00AB3D61" w:rsidRPr="00F22D87" w:rsidRDefault="00AB3D61" w:rsidP="00AB3D61">
      <w:pPr>
        <w:widowControl/>
        <w:wordWrap w:val="0"/>
        <w:adjustRightInd/>
        <w:spacing w:line="240" w:lineRule="auto"/>
        <w:ind w:right="200"/>
        <w:jc w:val="right"/>
        <w:textAlignment w:val="auto"/>
        <w:rPr>
          <w:rFonts w:ascii="標楷體" w:eastAsia="標楷體" w:hAnsi="標楷體"/>
          <w:sz w:val="20"/>
        </w:rPr>
      </w:pPr>
    </w:p>
    <w:p w:rsidR="00AB3D61" w:rsidRPr="005C20EE" w:rsidRDefault="00AB3D61" w:rsidP="00AB3D61">
      <w:pPr>
        <w:pStyle w:val="a3"/>
        <w:widowControl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szCs w:val="24"/>
        </w:rPr>
      </w:pPr>
      <w:r w:rsidRPr="003747A4">
        <w:rPr>
          <w:rFonts w:ascii="標楷體" w:eastAsia="標楷體" w:hAnsi="標楷體" w:hint="eastAsia"/>
          <w:szCs w:val="24"/>
        </w:rPr>
        <w:t>嶺東科技大學(以下簡稱本校)為結合校內資源，提升學生職場競爭力，共同策進學生生涯規劃、就</w:t>
      </w:r>
      <w:r w:rsidRPr="005C20EE">
        <w:rPr>
          <w:rFonts w:ascii="標楷體" w:eastAsia="標楷體" w:hAnsi="標楷體" w:hint="eastAsia"/>
          <w:szCs w:val="24"/>
        </w:rPr>
        <w:t>業準備及職涯發展，特設置「嶺東科技大學</w:t>
      </w:r>
      <w:r w:rsidRPr="005C20EE">
        <w:rPr>
          <w:rFonts w:ascii="標楷體" w:eastAsia="標楷體" w:hAnsi="標楷體"/>
          <w:szCs w:val="24"/>
        </w:rPr>
        <w:t>學生</w:t>
      </w:r>
      <w:r w:rsidRPr="005C20EE">
        <w:rPr>
          <w:rFonts w:ascii="標楷體" w:eastAsia="標楷體" w:hAnsi="標楷體" w:hint="eastAsia"/>
          <w:szCs w:val="24"/>
        </w:rPr>
        <w:t>職涯輔導</w:t>
      </w:r>
      <w:r w:rsidRPr="005C20EE">
        <w:rPr>
          <w:rFonts w:ascii="標楷體" w:eastAsia="標楷體" w:hAnsi="標楷體"/>
          <w:szCs w:val="24"/>
        </w:rPr>
        <w:t>委員會</w:t>
      </w:r>
      <w:r w:rsidRPr="005C20EE">
        <w:rPr>
          <w:rFonts w:ascii="標楷體" w:eastAsia="標楷體" w:hAnsi="標楷體" w:hint="eastAsia"/>
          <w:szCs w:val="24"/>
        </w:rPr>
        <w:t>」(以下簡稱本委員會)。</w:t>
      </w:r>
    </w:p>
    <w:p w:rsidR="00AB3D61" w:rsidRPr="0039418C" w:rsidRDefault="00AB3D61" w:rsidP="0039418C">
      <w:pPr>
        <w:pStyle w:val="a3"/>
        <w:widowControl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szCs w:val="24"/>
        </w:rPr>
      </w:pPr>
      <w:r w:rsidRPr="003747A4">
        <w:rPr>
          <w:rFonts w:ascii="標楷體" w:eastAsia="標楷體" w:hAnsi="標楷體" w:hint="eastAsia"/>
          <w:szCs w:val="24"/>
        </w:rPr>
        <w:t>本委員會由校長、副校長、教務長、學務長、綜合規劃處處長、職涯發展處處長、進修部主任、推</w:t>
      </w:r>
      <w:r w:rsidRPr="0039418C">
        <w:rPr>
          <w:rFonts w:ascii="標楷體" w:eastAsia="標楷體" w:hAnsi="標楷體" w:hint="eastAsia"/>
          <w:szCs w:val="24"/>
        </w:rPr>
        <w:t>廣教育部主任、各學院院長、通識教育中心主任組成，任期一年，由校長擔任主任委員，職涯發展處處長擔任召集人，</w:t>
      </w:r>
      <w:r w:rsidRPr="0039418C">
        <w:rPr>
          <w:rFonts w:ascii="標楷體" w:eastAsia="標楷體" w:hAnsi="標楷體"/>
        </w:rPr>
        <w:t>職</w:t>
      </w:r>
      <w:r w:rsidRPr="0039418C">
        <w:rPr>
          <w:rFonts w:ascii="標楷體" w:eastAsia="標楷體" w:hAnsi="標楷體" w:hint="eastAsia"/>
        </w:rPr>
        <w:t>涯</w:t>
      </w:r>
      <w:r w:rsidRPr="0039418C">
        <w:rPr>
          <w:rFonts w:ascii="標楷體" w:eastAsia="標楷體" w:hAnsi="標楷體"/>
        </w:rPr>
        <w:t>發展</w:t>
      </w:r>
      <w:r w:rsidRPr="0039418C">
        <w:rPr>
          <w:rFonts w:ascii="標楷體" w:eastAsia="標楷體" w:hAnsi="標楷體" w:hint="eastAsia"/>
        </w:rPr>
        <w:t>處秘書</w:t>
      </w:r>
      <w:r w:rsidRPr="0039418C">
        <w:rPr>
          <w:rFonts w:ascii="標楷體" w:eastAsia="標楷體" w:hAnsi="標楷體" w:hint="eastAsia"/>
          <w:szCs w:val="24"/>
        </w:rPr>
        <w:t>擔任執行祕書。</w:t>
      </w:r>
    </w:p>
    <w:p w:rsidR="00AB3D61" w:rsidRPr="00214E18" w:rsidRDefault="00AB3D61" w:rsidP="00AB3D61">
      <w:pPr>
        <w:pStyle w:val="a3"/>
        <w:widowControl/>
        <w:numPr>
          <w:ilvl w:val="0"/>
          <w:numId w:val="1"/>
        </w:numPr>
        <w:adjustRightInd/>
        <w:spacing w:line="240" w:lineRule="auto"/>
        <w:ind w:leftChars="0" w:left="482"/>
        <w:textAlignment w:val="auto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本委員會得視需要邀</w:t>
      </w:r>
      <w:r>
        <w:rPr>
          <w:rFonts w:ascii="標楷體" w:eastAsia="標楷體" w:hAnsi="標楷體" w:hint="eastAsia"/>
          <w:szCs w:val="24"/>
        </w:rPr>
        <w:t>請</w:t>
      </w:r>
      <w:r w:rsidRPr="00214E18">
        <w:rPr>
          <w:rFonts w:ascii="標楷體" w:eastAsia="標楷體" w:hAnsi="標楷體" w:hint="eastAsia"/>
          <w:szCs w:val="24"/>
        </w:rPr>
        <w:t>政府部門或民間企業代表擔任</w:t>
      </w:r>
      <w:r>
        <w:rPr>
          <w:rFonts w:ascii="標楷體" w:eastAsia="標楷體" w:hAnsi="標楷體" w:hint="eastAsia"/>
          <w:szCs w:val="24"/>
        </w:rPr>
        <w:t>諮詢</w:t>
      </w:r>
      <w:r w:rsidRPr="00214E18">
        <w:rPr>
          <w:rFonts w:ascii="標楷體" w:eastAsia="標楷體" w:hAnsi="標楷體" w:hint="eastAsia"/>
          <w:szCs w:val="24"/>
        </w:rPr>
        <w:t>委員，任期一年，為無給職。</w:t>
      </w:r>
    </w:p>
    <w:p w:rsidR="00AB3D61" w:rsidRPr="00214E18" w:rsidRDefault="00AB3D61" w:rsidP="00AB3D61">
      <w:pPr>
        <w:pStyle w:val="a3"/>
        <w:numPr>
          <w:ilvl w:val="0"/>
          <w:numId w:val="1"/>
        </w:numPr>
        <w:tabs>
          <w:tab w:val="left" w:pos="402"/>
        </w:tabs>
        <w:kinsoku w:val="0"/>
        <w:overflowPunct w:val="0"/>
        <w:autoSpaceDE w:val="0"/>
        <w:autoSpaceDN w:val="0"/>
        <w:spacing w:line="240" w:lineRule="auto"/>
        <w:ind w:leftChars="0" w:left="482"/>
        <w:textAlignment w:val="auto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本委員會之執掌如下：</w:t>
      </w:r>
    </w:p>
    <w:p w:rsidR="00AB3D61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審</w:t>
      </w:r>
      <w:r>
        <w:rPr>
          <w:rFonts w:ascii="標楷體" w:eastAsia="標楷體" w:hAnsi="標楷體" w:hint="eastAsia"/>
          <w:szCs w:val="24"/>
        </w:rPr>
        <w:t>議</w:t>
      </w:r>
      <w:r w:rsidRPr="00214E18">
        <w:rPr>
          <w:rFonts w:ascii="標楷體" w:eastAsia="標楷體" w:hAnsi="標楷體" w:hint="eastAsia"/>
          <w:szCs w:val="24"/>
        </w:rPr>
        <w:t>本校職涯發展處所規劃之學生就業輔導年度計畫。</w:t>
      </w:r>
    </w:p>
    <w:p w:rsidR="00AB3D61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督導並檢討學生就業輔</w:t>
      </w:r>
      <w:r>
        <w:rPr>
          <w:rFonts w:ascii="標楷體" w:eastAsia="標楷體" w:hAnsi="標楷體" w:hint="eastAsia"/>
          <w:szCs w:val="24"/>
        </w:rPr>
        <w:t>導</w:t>
      </w:r>
      <w:r w:rsidRPr="00214E18">
        <w:rPr>
          <w:rFonts w:ascii="標楷體" w:eastAsia="標楷體" w:hAnsi="標楷體" w:hint="eastAsia"/>
          <w:szCs w:val="24"/>
        </w:rPr>
        <w:t>年度計畫</w:t>
      </w:r>
      <w:r>
        <w:rPr>
          <w:rFonts w:ascii="標楷體" w:eastAsia="標楷體" w:hAnsi="標楷體" w:hint="eastAsia"/>
          <w:szCs w:val="24"/>
        </w:rPr>
        <w:t>相關</w:t>
      </w:r>
      <w:r w:rsidRPr="00214E18">
        <w:rPr>
          <w:rFonts w:ascii="標楷體" w:eastAsia="標楷體" w:hAnsi="標楷體" w:hint="eastAsia"/>
          <w:szCs w:val="24"/>
        </w:rPr>
        <w:t>活動執行成效。</w:t>
      </w:r>
    </w:p>
    <w:p w:rsidR="00AB3D61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督導學生就業力提升</w:t>
      </w:r>
      <w:r>
        <w:rPr>
          <w:rFonts w:ascii="標楷體" w:eastAsia="標楷體" w:hAnsi="標楷體" w:hint="eastAsia"/>
          <w:szCs w:val="24"/>
        </w:rPr>
        <w:t>相關研習</w:t>
      </w:r>
      <w:r w:rsidRPr="00214E18">
        <w:rPr>
          <w:rFonts w:ascii="標楷體" w:eastAsia="標楷體" w:hAnsi="標楷體" w:hint="eastAsia"/>
          <w:szCs w:val="24"/>
        </w:rPr>
        <w:t>活動。</w:t>
      </w:r>
    </w:p>
    <w:p w:rsidR="00AB3D61" w:rsidRPr="00214E18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督導並檢討雇主滿意度調查之執行成效。</w:t>
      </w:r>
    </w:p>
    <w:p w:rsidR="00AB3D61" w:rsidRPr="00214E18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督導並檢討畢業生流向調查之執行成效。</w:t>
      </w:r>
    </w:p>
    <w:p w:rsidR="00AB3D61" w:rsidRPr="00214E18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審議學生生涯規劃、職涯探索、就業準備及職涯發展等相關業務。</w:t>
      </w:r>
    </w:p>
    <w:p w:rsidR="00AB3D61" w:rsidRPr="00214E18" w:rsidRDefault="00AB3D61" w:rsidP="00AB3D61">
      <w:pPr>
        <w:pStyle w:val="a4"/>
        <w:numPr>
          <w:ilvl w:val="0"/>
          <w:numId w:val="2"/>
        </w:numPr>
        <w:kinsoku w:val="0"/>
        <w:overflowPunct w:val="0"/>
        <w:rPr>
          <w:rFonts w:ascii="標楷體" w:eastAsia="標楷體" w:hAnsi="標楷體"/>
          <w:szCs w:val="24"/>
        </w:rPr>
      </w:pPr>
      <w:r w:rsidRPr="00214E18">
        <w:rPr>
          <w:rFonts w:ascii="標楷體" w:eastAsia="標楷體" w:hAnsi="標楷體" w:hint="eastAsia"/>
          <w:szCs w:val="24"/>
        </w:rPr>
        <w:t>其他相</w:t>
      </w:r>
      <w:r>
        <w:rPr>
          <w:rFonts w:ascii="標楷體" w:eastAsia="標楷體" w:hAnsi="標楷體" w:hint="eastAsia"/>
          <w:szCs w:val="24"/>
        </w:rPr>
        <w:t>關事項審議</w:t>
      </w:r>
      <w:r w:rsidRPr="00214E18">
        <w:rPr>
          <w:rFonts w:ascii="標楷體" w:eastAsia="標楷體" w:hAnsi="標楷體" w:hint="eastAsia"/>
          <w:szCs w:val="24"/>
        </w:rPr>
        <w:t>。</w:t>
      </w:r>
    </w:p>
    <w:p w:rsidR="00AB3D61" w:rsidRPr="009409FF" w:rsidRDefault="00AB3D61" w:rsidP="00AB3D61">
      <w:pPr>
        <w:pStyle w:val="a3"/>
        <w:widowControl/>
        <w:numPr>
          <w:ilvl w:val="0"/>
          <w:numId w:val="1"/>
        </w:numPr>
        <w:adjustRightInd/>
        <w:spacing w:line="240" w:lineRule="auto"/>
        <w:ind w:leftChars="0" w:left="482"/>
        <w:textAlignment w:val="auto"/>
        <w:rPr>
          <w:rFonts w:ascii="標楷體" w:eastAsia="標楷體" w:hAnsi="標楷體"/>
          <w:szCs w:val="24"/>
        </w:rPr>
      </w:pPr>
      <w:r w:rsidRPr="009409FF">
        <w:rPr>
          <w:rFonts w:ascii="標楷體" w:eastAsia="標楷體" w:hAnsi="標楷體" w:hint="eastAsia"/>
          <w:szCs w:val="24"/>
        </w:rPr>
        <w:t>本委員會每學期至少召開一次</w:t>
      </w:r>
      <w:r>
        <w:rPr>
          <w:rFonts w:ascii="標楷體" w:eastAsia="標楷體" w:hAnsi="標楷體" w:hint="eastAsia"/>
          <w:szCs w:val="24"/>
        </w:rPr>
        <w:t>會議</w:t>
      </w:r>
      <w:r w:rsidRPr="009409FF">
        <w:rPr>
          <w:rFonts w:ascii="標楷體" w:eastAsia="標楷體" w:hAnsi="標楷體" w:hint="eastAsia"/>
          <w:szCs w:val="24"/>
        </w:rPr>
        <w:t>，必要時得召</w:t>
      </w:r>
      <w:r>
        <w:rPr>
          <w:rFonts w:ascii="標楷體" w:eastAsia="標楷體" w:hAnsi="標楷體" w:hint="eastAsia"/>
          <w:szCs w:val="24"/>
        </w:rPr>
        <w:t>開臨時會議</w:t>
      </w:r>
      <w:r w:rsidRPr="009409FF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會議</w:t>
      </w:r>
      <w:r w:rsidRPr="009409FF">
        <w:rPr>
          <w:rFonts w:ascii="標楷體" w:eastAsia="標楷體" w:hAnsi="標楷體" w:hint="eastAsia"/>
          <w:szCs w:val="24"/>
        </w:rPr>
        <w:t>須有過</w:t>
      </w:r>
      <w:r>
        <w:rPr>
          <w:rFonts w:ascii="標楷體" w:eastAsia="標楷體" w:hAnsi="標楷體" w:hint="eastAsia"/>
          <w:szCs w:val="24"/>
        </w:rPr>
        <w:t>半數</w:t>
      </w:r>
      <w:r w:rsidRPr="009409FF">
        <w:rPr>
          <w:rFonts w:ascii="標楷體" w:eastAsia="標楷體" w:hAnsi="標楷體" w:hint="eastAsia"/>
          <w:szCs w:val="24"/>
        </w:rPr>
        <w:t>委員出席始得開會，出席委員過</w:t>
      </w:r>
      <w:r>
        <w:rPr>
          <w:rFonts w:ascii="標楷體" w:eastAsia="標楷體" w:hAnsi="標楷體" w:hint="eastAsia"/>
          <w:szCs w:val="24"/>
        </w:rPr>
        <w:t>半數</w:t>
      </w:r>
      <w:r w:rsidRPr="009409FF">
        <w:rPr>
          <w:rFonts w:ascii="標楷體" w:eastAsia="標楷體" w:hAnsi="標楷體" w:hint="eastAsia"/>
          <w:szCs w:val="24"/>
        </w:rPr>
        <w:t>通過始得決議。</w:t>
      </w:r>
    </w:p>
    <w:p w:rsidR="00AB3D61" w:rsidRPr="009409FF" w:rsidRDefault="00AB3D61" w:rsidP="00AB3D61">
      <w:pPr>
        <w:pStyle w:val="a4"/>
        <w:kinsoku w:val="0"/>
        <w:overflowPunct w:val="0"/>
        <w:spacing w:line="309" w:lineRule="auto"/>
        <w:ind w:right="148"/>
        <w:jc w:val="both"/>
        <w:rPr>
          <w:rFonts w:ascii="標楷體" w:eastAsia="標楷體" w:hAnsi="標楷體"/>
          <w:szCs w:val="24"/>
        </w:rPr>
      </w:pPr>
      <w:r w:rsidRPr="009409FF">
        <w:rPr>
          <w:rFonts w:ascii="標楷體" w:eastAsia="標楷體" w:hAnsi="標楷體" w:hint="eastAsia"/>
          <w:szCs w:val="24"/>
        </w:rPr>
        <w:t>六、</w:t>
      </w:r>
      <w:r w:rsidRPr="009409FF">
        <w:rPr>
          <w:rFonts w:ascii="標楷體" w:eastAsia="標楷體" w:hAnsi="標楷體"/>
          <w:szCs w:val="24"/>
        </w:rPr>
        <w:t xml:space="preserve"> </w:t>
      </w:r>
      <w:r w:rsidRPr="009409FF">
        <w:rPr>
          <w:rFonts w:ascii="標楷體" w:eastAsia="標楷體" w:hAnsi="標楷體" w:hint="eastAsia"/>
          <w:szCs w:val="24"/>
        </w:rPr>
        <w:t>本要點經行政會議通過，陳</w:t>
      </w:r>
      <w:r>
        <w:rPr>
          <w:rFonts w:ascii="標楷體" w:eastAsia="標楷體" w:hAnsi="標楷體" w:hint="eastAsia"/>
          <w:szCs w:val="24"/>
        </w:rPr>
        <w:t>請</w:t>
      </w:r>
      <w:r w:rsidRPr="009409FF">
        <w:rPr>
          <w:rFonts w:ascii="標楷體" w:eastAsia="標楷體" w:hAnsi="標楷體" w:hint="eastAsia"/>
          <w:szCs w:val="24"/>
        </w:rPr>
        <w:t>校長核定後</w:t>
      </w:r>
      <w:r>
        <w:rPr>
          <w:rFonts w:ascii="標楷體" w:eastAsia="標楷體" w:hAnsi="標楷體" w:hint="eastAsia"/>
          <w:szCs w:val="24"/>
        </w:rPr>
        <w:t>實施</w:t>
      </w:r>
      <w:r w:rsidRPr="009409FF">
        <w:rPr>
          <w:rFonts w:ascii="標楷體" w:eastAsia="標楷體" w:hAnsi="標楷體" w:hint="eastAsia"/>
          <w:szCs w:val="24"/>
        </w:rPr>
        <w:t>，修正時亦同。</w:t>
      </w:r>
    </w:p>
    <w:p w:rsidR="00E7141E" w:rsidRPr="00AB3D61" w:rsidRDefault="00E7141E">
      <w:pPr>
        <w:rPr>
          <w:b/>
        </w:rPr>
      </w:pPr>
    </w:p>
    <w:sectPr w:rsidR="00E7141E" w:rsidRPr="00AB3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8C" w:rsidRDefault="0039418C" w:rsidP="0039418C">
      <w:pPr>
        <w:spacing w:line="240" w:lineRule="auto"/>
      </w:pPr>
      <w:r>
        <w:separator/>
      </w:r>
    </w:p>
  </w:endnote>
  <w:endnote w:type="continuationSeparator" w:id="0">
    <w:p w:rsidR="0039418C" w:rsidRDefault="0039418C" w:rsidP="00394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8C" w:rsidRDefault="0039418C" w:rsidP="0039418C">
      <w:pPr>
        <w:spacing w:line="240" w:lineRule="auto"/>
      </w:pPr>
      <w:r>
        <w:separator/>
      </w:r>
    </w:p>
  </w:footnote>
  <w:footnote w:type="continuationSeparator" w:id="0">
    <w:p w:rsidR="0039418C" w:rsidRDefault="0039418C" w:rsidP="00394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612F"/>
    <w:multiLevelType w:val="hybridMultilevel"/>
    <w:tmpl w:val="33244F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B6D3B"/>
    <w:multiLevelType w:val="hybridMultilevel"/>
    <w:tmpl w:val="3E34D652"/>
    <w:lvl w:ilvl="0" w:tplc="63DEAF6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61"/>
    <w:rsid w:val="0039418C"/>
    <w:rsid w:val="005C20EE"/>
    <w:rsid w:val="00AB3D61"/>
    <w:rsid w:val="00D6357D"/>
    <w:rsid w:val="00E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E05A"/>
  <w15:chartTrackingRefBased/>
  <w15:docId w15:val="{FC494B09-517C-4CA0-91C0-55DC9E4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6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3D61"/>
    <w:pPr>
      <w:ind w:leftChars="200" w:left="480"/>
    </w:pPr>
  </w:style>
  <w:style w:type="paragraph" w:styleId="a4">
    <w:name w:val="Body Text"/>
    <w:basedOn w:val="a"/>
    <w:link w:val="a5"/>
    <w:semiHidden/>
    <w:unhideWhenUsed/>
    <w:rsid w:val="00AB3D61"/>
    <w:pPr>
      <w:spacing w:after="120"/>
    </w:pPr>
  </w:style>
  <w:style w:type="character" w:customStyle="1" w:styleId="a5">
    <w:name w:val="本文 字元"/>
    <w:basedOn w:val="a0"/>
    <w:link w:val="a4"/>
    <w:semiHidden/>
    <w:rsid w:val="00AB3D61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3941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9418C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41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9418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2018-10-22T06:22:00Z</dcterms:created>
  <dcterms:modified xsi:type="dcterms:W3CDTF">2022-07-29T06:17:00Z</dcterms:modified>
</cp:coreProperties>
</file>